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Kalix kommunfullmäktige</w:t>
      </w:r>
    </w:p>
    <w:p>
      <w:pPr>
        <w:pStyle w:val="Heading1"/>
      </w:pPr>
      <w:r>
        <w:t xml:space="preserve">Stärkt stöd till elever i behov av särskilt stöd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Kalix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Skolresultaten i Kalix ligger under rikssnittet enligt Skolverkets statistik 2024. Elever i utsatta områden saknar tillräckligt stöd vilket riskerar att öka utanförskap.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Kalix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anställa ytterligare fem speciallärare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handlingsplan för tidiga insatser i årskurs 1–3 tas fram.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elevhälsan stärks.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uppföljning sker årligen till utbildningsnämnden.</w:t>
      </w:r>
    </w:p>
    <w:p>
      <w:pPr>
        <w:spacing w:before="360"/>
      </w:pPr>
    </w:p>
    <w:p>
      <w:r>
        <w:t xml:space="preserve">Kalix,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Kalix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2026-07-14T00:22:03.578Z</dcterms:created>
  <dcterms:modified xsi:type="dcterms:W3CDTF">2026-07-14T00:22:03.578Z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